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7E9" w:rsidRPr="001128D4" w:rsidRDefault="007567E9" w:rsidP="007567E9">
      <w:pPr>
        <w:spacing w:after="0" w:line="240" w:lineRule="auto"/>
        <w:ind w:left="4394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E1C706" wp14:editId="369D3295">
            <wp:simplePos x="0" y="0"/>
            <wp:positionH relativeFrom="column">
              <wp:posOffset>-174943</wp:posOffset>
            </wp:positionH>
            <wp:positionV relativeFrom="paragraph">
              <wp:posOffset>0</wp:posOffset>
            </wp:positionV>
            <wp:extent cx="2028825" cy="1922445"/>
            <wp:effectExtent l="0" t="0" r="0" b="1905"/>
            <wp:wrapTight wrapText="bothSides">
              <wp:wrapPolygon edited="0">
                <wp:start x="0" y="0"/>
                <wp:lineTo x="0" y="21407"/>
                <wp:lineTo x="21296" y="21407"/>
                <wp:lineTo x="212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00" t="18251" r="29290" b="9601"/>
                    <a:stretch/>
                  </pic:blipFill>
                  <pic:spPr bwMode="auto">
                    <a:xfrm>
                      <a:off x="0" y="0"/>
                      <a:ext cx="2028825" cy="192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8D4">
        <w:rPr>
          <w:rFonts w:ascii="Times New Roman" w:hAnsi="Times New Roman"/>
          <w:sz w:val="28"/>
        </w:rPr>
        <w:t>УТВЕРЖДЕНО</w:t>
      </w:r>
    </w:p>
    <w:p w:rsidR="007567E9" w:rsidRPr="001128D4" w:rsidRDefault="007567E9" w:rsidP="007567E9">
      <w:pPr>
        <w:spacing w:after="0" w:line="240" w:lineRule="auto"/>
        <w:ind w:left="4394"/>
        <w:rPr>
          <w:rFonts w:ascii="Times New Roman" w:hAnsi="Times New Roman"/>
          <w:sz w:val="28"/>
        </w:rPr>
      </w:pPr>
      <w:r w:rsidRPr="001128D4">
        <w:rPr>
          <w:rFonts w:ascii="Times New Roman" w:hAnsi="Times New Roman"/>
          <w:sz w:val="28"/>
        </w:rPr>
        <w:t>Протоколом Управляюще</w:t>
      </w:r>
      <w:r>
        <w:rPr>
          <w:rFonts w:ascii="Times New Roman" w:hAnsi="Times New Roman"/>
          <w:sz w:val="28"/>
        </w:rPr>
        <w:t>й</w:t>
      </w:r>
      <w:r w:rsidRPr="001128D4">
        <w:rPr>
          <w:rFonts w:ascii="Times New Roman" w:hAnsi="Times New Roman"/>
          <w:sz w:val="28"/>
        </w:rPr>
        <w:t xml:space="preserve"> </w:t>
      </w:r>
      <w:r w:rsidRPr="00FC6D40">
        <w:rPr>
          <w:rFonts w:ascii="Times New Roman" w:hAnsi="Times New Roman"/>
          <w:color w:val="auto"/>
          <w:sz w:val="28"/>
        </w:rPr>
        <w:t xml:space="preserve">компании </w:t>
      </w:r>
      <w:r>
        <w:rPr>
          <w:rFonts w:ascii="Times New Roman" w:hAnsi="Times New Roman"/>
          <w:sz w:val="28"/>
        </w:rPr>
        <w:t xml:space="preserve">образовательного </w:t>
      </w:r>
      <w:r w:rsidRPr="001128D4">
        <w:rPr>
          <w:rFonts w:ascii="Times New Roman" w:hAnsi="Times New Roman"/>
          <w:sz w:val="28"/>
        </w:rPr>
        <w:t>кластера</w:t>
      </w:r>
      <w:r>
        <w:rPr>
          <w:rFonts w:ascii="Times New Roman" w:hAnsi="Times New Roman"/>
          <w:sz w:val="28"/>
        </w:rPr>
        <w:t xml:space="preserve"> среднего профессионального образования</w:t>
      </w:r>
    </w:p>
    <w:p w:rsidR="007567E9" w:rsidRDefault="007567E9" w:rsidP="007567E9">
      <w:pPr>
        <w:spacing w:after="0" w:line="240" w:lineRule="auto"/>
        <w:ind w:left="4394"/>
        <w:rPr>
          <w:rFonts w:ascii="Times New Roman" w:hAnsi="Times New Roman"/>
          <w:sz w:val="28"/>
        </w:rPr>
      </w:pPr>
      <w:r w:rsidRPr="001128D4">
        <w:rPr>
          <w:rFonts w:ascii="Times New Roman" w:hAnsi="Times New Roman"/>
          <w:sz w:val="28"/>
        </w:rPr>
        <w:t xml:space="preserve">«Туризм и сфера услуг» </w:t>
      </w:r>
    </w:p>
    <w:p w:rsidR="007567E9" w:rsidRPr="001128D4" w:rsidRDefault="007567E9" w:rsidP="007567E9">
      <w:pPr>
        <w:spacing w:after="0" w:line="240" w:lineRule="auto"/>
        <w:ind w:left="4394"/>
        <w:rPr>
          <w:rFonts w:ascii="Times New Roman" w:hAnsi="Times New Roman"/>
          <w:sz w:val="28"/>
        </w:rPr>
      </w:pPr>
      <w:r w:rsidRPr="001128D4">
        <w:rPr>
          <w:rFonts w:ascii="Times New Roman" w:hAnsi="Times New Roman"/>
          <w:sz w:val="28"/>
        </w:rPr>
        <w:t xml:space="preserve">Вологодской области </w:t>
      </w:r>
    </w:p>
    <w:p w:rsidR="007567E9" w:rsidRPr="001128D4" w:rsidRDefault="007567E9" w:rsidP="007567E9">
      <w:pPr>
        <w:spacing w:after="0" w:line="240" w:lineRule="auto"/>
        <w:ind w:left="4394"/>
        <w:rPr>
          <w:rFonts w:ascii="Times New Roman" w:hAnsi="Times New Roman"/>
          <w:sz w:val="28"/>
        </w:rPr>
      </w:pPr>
      <w:r w:rsidRPr="001128D4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5</w:t>
      </w:r>
      <w:r w:rsidRPr="001128D4"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30 января 2024 года</w:t>
      </w: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E67A6A" w:rsidRDefault="00E67A6A" w:rsidP="007567E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E67A6A" w:rsidRDefault="00C04359" w:rsidP="007567E9">
      <w:pPr>
        <w:spacing w:after="0"/>
        <w:jc w:val="center"/>
        <w:rPr>
          <w:rFonts w:ascii="Times New Roman" w:hAnsi="Times New Roman"/>
          <w:b/>
          <w:sz w:val="28"/>
        </w:rPr>
      </w:pPr>
      <w:r w:rsidRPr="007567E9">
        <w:rPr>
          <w:rFonts w:ascii="Times New Roman" w:hAnsi="Times New Roman"/>
          <w:b/>
          <w:sz w:val="28"/>
        </w:rPr>
        <w:t>Порядок взаиморасчетов в условиях сетевой формы реализации образовательных программ среднего профессионального образования</w:t>
      </w: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Череповец, </w:t>
      </w:r>
    </w:p>
    <w:p w:rsidR="007567E9" w:rsidRPr="007567E9" w:rsidRDefault="007567E9" w:rsidP="007567E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2024</w:t>
      </w:r>
    </w:p>
    <w:p w:rsidR="00E67A6A" w:rsidRPr="007567E9" w:rsidRDefault="00C04359" w:rsidP="007567E9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</w:rPr>
      </w:pPr>
      <w:r w:rsidRPr="007567E9">
        <w:rPr>
          <w:rFonts w:ascii="Times New Roman" w:hAnsi="Times New Roman"/>
          <w:b/>
          <w:sz w:val="28"/>
        </w:rPr>
        <w:lastRenderedPageBreak/>
        <w:t>Общие положения</w:t>
      </w:r>
    </w:p>
    <w:p w:rsidR="00E67A6A" w:rsidRPr="007567E9" w:rsidRDefault="00C04359" w:rsidP="007567E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bookmarkStart w:id="0" w:name="_Hlk159774681"/>
      <w:r w:rsidRPr="007567E9">
        <w:rPr>
          <w:rFonts w:ascii="Times New Roman" w:hAnsi="Times New Roman"/>
          <w:sz w:val="28"/>
        </w:rPr>
        <w:t>1.1. Сторонами договора о сетевой форме являются:</w:t>
      </w:r>
    </w:p>
    <w:p w:rsidR="00E67A6A" w:rsidRPr="007567E9" w:rsidRDefault="00C04359" w:rsidP="007567E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– базовая организация – организация, осуществляющая образовательную деятельность, в которую обучающийся принят на обучение и которая несет ответственность за реализацию сетевой образовательной программы, осуществляет контроль за участием организаций-участников в реализации сетевой образовательной программы;</w:t>
      </w:r>
    </w:p>
    <w:p w:rsidR="00E67A6A" w:rsidRPr="007567E9" w:rsidRDefault="00C04359" w:rsidP="007567E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– организация-участник – принимающая участие в реализации сетевой образовательной программы организация, осуществляющая образовательную деятельность, и (или) научная, медицинская организация, организация культуры, физкультурно-спортивная или иная организация, обладающая ресурсами для осуществления образовательной деятельности по сетевой образовательной программе.</w:t>
      </w:r>
    </w:p>
    <w:p w:rsidR="00E67A6A" w:rsidRPr="007567E9" w:rsidRDefault="00C04359" w:rsidP="007567E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Сторонами договора о сетевой форме могут являться несколько организаций-участников.</w:t>
      </w:r>
      <w:bookmarkEnd w:id="0"/>
    </w:p>
    <w:p w:rsidR="00E67A6A" w:rsidRDefault="00C04359" w:rsidP="007567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1.2. Порядок взаиморасчетов сетевой формы реализации образовательных программ СПО (далее – Порядок) регулирует экономические отношения между сторонами договора о сетевой форме реализации образовательных программ СПО образовательного кластера СПО по отрасли «</w:t>
      </w:r>
      <w:r w:rsidR="007567E9">
        <w:rPr>
          <w:rFonts w:ascii="Times New Roman" w:hAnsi="Times New Roman"/>
          <w:sz w:val="28"/>
        </w:rPr>
        <w:t>Туризм и сфера услуг</w:t>
      </w:r>
      <w:r w:rsidRPr="007567E9">
        <w:rPr>
          <w:rFonts w:ascii="Times New Roman" w:hAnsi="Times New Roman"/>
          <w:sz w:val="28"/>
        </w:rPr>
        <w:t>».</w:t>
      </w:r>
    </w:p>
    <w:p w:rsidR="007567E9" w:rsidRPr="007567E9" w:rsidRDefault="007567E9" w:rsidP="007567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67A6A" w:rsidRPr="007567E9" w:rsidRDefault="00C04359" w:rsidP="007567E9">
      <w:pPr>
        <w:pStyle w:val="a8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sz w:val="28"/>
        </w:rPr>
      </w:pPr>
      <w:r w:rsidRPr="007567E9">
        <w:rPr>
          <w:rFonts w:ascii="Times New Roman" w:hAnsi="Times New Roman"/>
          <w:b/>
          <w:sz w:val="28"/>
        </w:rPr>
        <w:t>Нормативно-правовая база</w:t>
      </w:r>
    </w:p>
    <w:p w:rsidR="00E67A6A" w:rsidRPr="007567E9" w:rsidRDefault="00C04359" w:rsidP="007567E9">
      <w:pPr>
        <w:pStyle w:val="a8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 xml:space="preserve"> Настоящий Порядок разработан в соответствии:</w:t>
      </w:r>
    </w:p>
    <w:p w:rsidR="00E67A6A" w:rsidRPr="007567E9" w:rsidRDefault="00C04359" w:rsidP="007567E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с Гражданским кодексом Российской Федерации;</w:t>
      </w:r>
    </w:p>
    <w:p w:rsidR="00E67A6A" w:rsidRPr="007567E9" w:rsidRDefault="00882BBD" w:rsidP="007567E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hyperlink r:id="rId6" w:tooltip="Открыть документ в системе Гарант" w:history="1">
        <w:r w:rsidR="00C04359" w:rsidRPr="007567E9">
          <w:rPr>
            <w:rFonts w:ascii="Times New Roman" w:hAnsi="Times New Roman"/>
            <w:sz w:val="28"/>
          </w:rPr>
          <w:t>Федеральным законом</w:t>
        </w:r>
      </w:hyperlink>
      <w:r w:rsidR="00C04359" w:rsidRPr="007567E9">
        <w:rPr>
          <w:rFonts w:ascii="Times New Roman" w:hAnsi="Times New Roman"/>
          <w:sz w:val="28"/>
        </w:rPr>
        <w:t> от 12.01.1996 № 7-ФЗ "О некоммерческих организациях";</w:t>
      </w:r>
    </w:p>
    <w:p w:rsidR="00E67A6A" w:rsidRPr="007567E9" w:rsidRDefault="00C04359" w:rsidP="007567E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Федеральным законом от 29.12.2012 № 273-ФЗ «Об образовании в Российской Федерации» (ст. 13, 15);</w:t>
      </w:r>
    </w:p>
    <w:p w:rsidR="00E67A6A" w:rsidRPr="007567E9" w:rsidRDefault="00C04359" w:rsidP="007567E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Постановлением Правительства Российской Федерации от 16.03.2022 № 387 «О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</w:t>
      </w:r>
      <w:proofErr w:type="spellStart"/>
      <w:r w:rsidRPr="007567E9">
        <w:rPr>
          <w:rFonts w:ascii="Times New Roman" w:hAnsi="Times New Roman"/>
          <w:sz w:val="28"/>
        </w:rPr>
        <w:t>Профессионалитет</w:t>
      </w:r>
      <w:proofErr w:type="spellEnd"/>
      <w:r w:rsidRPr="007567E9">
        <w:rPr>
          <w:rFonts w:ascii="Times New Roman" w:hAnsi="Times New Roman"/>
          <w:sz w:val="28"/>
        </w:rPr>
        <w:t>»;</w:t>
      </w:r>
    </w:p>
    <w:p w:rsidR="00E67A6A" w:rsidRPr="007567E9" w:rsidRDefault="00C04359" w:rsidP="007567E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Постановлением Правительства Российской Федерации от 14.01.2022 № 4 «Об утверждении Правил предоставления грантов в форме субсидий из федерального бюджета на оказание государственной поддержки развития образовательно-производственных центров (кластеров)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экономики, в рамках федерального проекта «</w:t>
      </w:r>
      <w:proofErr w:type="spellStart"/>
      <w:r w:rsidRPr="007567E9">
        <w:rPr>
          <w:rFonts w:ascii="Times New Roman" w:hAnsi="Times New Roman"/>
          <w:sz w:val="28"/>
        </w:rPr>
        <w:t>Профессионалитет</w:t>
      </w:r>
      <w:proofErr w:type="spellEnd"/>
      <w:r w:rsidRPr="007567E9">
        <w:rPr>
          <w:rFonts w:ascii="Times New Roman" w:hAnsi="Times New Roman"/>
          <w:sz w:val="28"/>
        </w:rPr>
        <w:t>» государственной программы Российской Федерации «Развитие образования»</w:t>
      </w:r>
      <w:r w:rsidRPr="007567E9">
        <w:rPr>
          <w:sz w:val="24"/>
        </w:rPr>
        <w:t xml:space="preserve"> </w:t>
      </w:r>
      <w:bookmarkStart w:id="1" w:name="_Hlk159775059"/>
      <w:r w:rsidRPr="007567E9">
        <w:rPr>
          <w:rFonts w:ascii="Times New Roman" w:hAnsi="Times New Roman"/>
          <w:sz w:val="28"/>
        </w:rPr>
        <w:t>(в редакции от 04.05.2023);</w:t>
      </w:r>
      <w:bookmarkEnd w:id="1"/>
    </w:p>
    <w:p w:rsidR="00E67A6A" w:rsidRPr="007567E9" w:rsidRDefault="00C04359" w:rsidP="007567E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Приказом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 (с изм. на 22.02.2023);</w:t>
      </w:r>
    </w:p>
    <w:p w:rsidR="00E67A6A" w:rsidRPr="007567E9" w:rsidRDefault="00C04359" w:rsidP="007567E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lastRenderedPageBreak/>
        <w:t>Письмом Министерства просвещения РФ от 24.07.2021 № 05–995 «Об использовании сетевой формы при реализации образовательных программ среднего профессионального образования»;</w:t>
      </w:r>
      <w:r w:rsidRPr="007567E9">
        <w:rPr>
          <w:rFonts w:ascii="Times New Roman" w:hAnsi="Times New Roman"/>
          <w:sz w:val="28"/>
        </w:rPr>
        <w:tab/>
      </w:r>
    </w:p>
    <w:p w:rsidR="00E67A6A" w:rsidRPr="007567E9" w:rsidRDefault="00C04359" w:rsidP="007567E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Письмом Министерства просвещения РФ от 01.04.2022 «Методические рекомендации о развитии сетевого взаимодействия образовательных организаций, реализующих программы среднего профессионального образования, в целях совместного использования материально-технической базы образовательно-производственного центра (кластера)»;</w:t>
      </w:r>
    </w:p>
    <w:p w:rsidR="00E67A6A" w:rsidRPr="007567E9" w:rsidRDefault="00C04359" w:rsidP="007567E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соглашением о партнерстве в целях создания и развития образовательного кластера СПО;</w:t>
      </w:r>
    </w:p>
    <w:p w:rsidR="00E67A6A" w:rsidRPr="007567E9" w:rsidRDefault="00C04359" w:rsidP="007567E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сетевым регламентом кластера.</w:t>
      </w:r>
    </w:p>
    <w:p w:rsidR="00E67A6A" w:rsidRPr="007567E9" w:rsidRDefault="00E67A6A" w:rsidP="007567E9">
      <w:pPr>
        <w:pStyle w:val="a8"/>
        <w:spacing w:after="0" w:line="360" w:lineRule="auto"/>
        <w:ind w:left="567"/>
        <w:jc w:val="both"/>
        <w:rPr>
          <w:rFonts w:ascii="Times New Roman" w:hAnsi="Times New Roman"/>
          <w:sz w:val="28"/>
        </w:rPr>
      </w:pPr>
    </w:p>
    <w:p w:rsidR="00E67A6A" w:rsidRPr="007567E9" w:rsidRDefault="00C04359" w:rsidP="007567E9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567E9">
        <w:rPr>
          <w:rFonts w:ascii="Times New Roman" w:hAnsi="Times New Roman"/>
          <w:b/>
          <w:sz w:val="28"/>
        </w:rPr>
        <w:t>Финансовое обеспечение взаиморасчетов при реализации сетевой образовательной программы</w:t>
      </w:r>
    </w:p>
    <w:p w:rsidR="00E67A6A" w:rsidRPr="007567E9" w:rsidRDefault="00C04359" w:rsidP="007567E9">
      <w:pPr>
        <w:pStyle w:val="a8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343A40"/>
          <w:sz w:val="24"/>
          <w:shd w:val="clear" w:color="auto" w:fill="F8F9FA"/>
        </w:rPr>
      </w:pPr>
      <w:r w:rsidRPr="007567E9">
        <w:rPr>
          <w:rFonts w:ascii="Times New Roman" w:hAnsi="Times New Roman"/>
          <w:sz w:val="28"/>
        </w:rPr>
        <w:t>Финансовое обеспечение реализации образовательной программы СПО в сетевой форме, в том числе использования ресурсов организаций-участников, определяется договором о сетевой форме и может осуществляться за счет:</w:t>
      </w:r>
    </w:p>
    <w:p w:rsidR="00E67A6A" w:rsidRPr="007567E9" w:rsidRDefault="00C04359" w:rsidP="007567E9">
      <w:pPr>
        <w:pStyle w:val="a8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средств государственного задания, предоставленных для реализации указанных программ без привлечения дополнительных бюджетных средств;</w:t>
      </w:r>
    </w:p>
    <w:p w:rsidR="00E67A6A" w:rsidRPr="007567E9" w:rsidRDefault="00C04359" w:rsidP="007567E9">
      <w:pPr>
        <w:pStyle w:val="a8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средств, полученных от приносящей доход деятельности, предусмотренной уставом базовой организации;</w:t>
      </w:r>
    </w:p>
    <w:p w:rsidR="00E67A6A" w:rsidRPr="007567E9" w:rsidRDefault="00C04359" w:rsidP="007567E9">
      <w:pPr>
        <w:pStyle w:val="a8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добровольных пожертвований и целевых взносов физических и юридических лиц;</w:t>
      </w:r>
    </w:p>
    <w:p w:rsidR="00E67A6A" w:rsidRPr="007567E9" w:rsidRDefault="00C04359" w:rsidP="007567E9">
      <w:pPr>
        <w:pStyle w:val="a8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иных поступлений, определенных в соответствии с законодательством Российской Федерации.</w:t>
      </w:r>
    </w:p>
    <w:p w:rsidR="00E67A6A" w:rsidRPr="007567E9" w:rsidRDefault="00C04359" w:rsidP="007567E9">
      <w:pPr>
        <w:pStyle w:val="a8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 xml:space="preserve">Порядок и источники финансирования образовательных программ СПО, реализуемых в форме сетевого взаимодействия, в каждом конкретном случае согласовываются с планово-финансовыми структурами всех организаций-участников сетевого взаимодействия. </w:t>
      </w:r>
    </w:p>
    <w:p w:rsidR="00E67A6A" w:rsidRPr="007567E9" w:rsidRDefault="00C04359" w:rsidP="007567E9">
      <w:pPr>
        <w:pStyle w:val="a8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Организации-участники не вправе взимать плату с обучающихся за реализацию сетевой формы части образовательной программы СПО и (или) предоставление ресурсов для ее реализации.</w:t>
      </w:r>
    </w:p>
    <w:p w:rsidR="00E67A6A" w:rsidRDefault="00C04359" w:rsidP="007567E9">
      <w:pPr>
        <w:pStyle w:val="a8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 xml:space="preserve">Использование имущества государственных организаций организациями, реализующими образовательную деятельность, финансовое обеспечение которых осуществляется за счет бюджетных ассигнований федерального бюджета, бюджетов субъектов Российской Федерации и (или) местных бюджетов, при сетевой форме реализации образовательных программ СПО осуществляется на безвозмездной основе, если иное не установлено договором о сетевой форме реализации образовательных программ СПО. </w:t>
      </w:r>
    </w:p>
    <w:p w:rsidR="007567E9" w:rsidRPr="007567E9" w:rsidRDefault="007567E9" w:rsidP="007567E9">
      <w:pPr>
        <w:pStyle w:val="a8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E67A6A" w:rsidRPr="007567E9" w:rsidRDefault="00C04359" w:rsidP="007567E9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567E9">
        <w:rPr>
          <w:rFonts w:ascii="Times New Roman" w:hAnsi="Times New Roman"/>
          <w:b/>
          <w:sz w:val="28"/>
        </w:rPr>
        <w:t>Финансовые механизмы обеспечения взаиморасчетов при сетевом взаимодействии при реализации образовательных программ среднего профессионального образования</w:t>
      </w:r>
    </w:p>
    <w:p w:rsidR="00E67A6A" w:rsidRPr="007567E9" w:rsidRDefault="00C04359" w:rsidP="007567E9">
      <w:pPr>
        <w:pStyle w:val="a8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lastRenderedPageBreak/>
        <w:t xml:space="preserve">Базовая организация возмещает затраты организации-участнику на реализацию части образовательной программы СПО в сетевой форме. </w:t>
      </w:r>
    </w:p>
    <w:p w:rsidR="00E67A6A" w:rsidRPr="007567E9" w:rsidRDefault="00C04359" w:rsidP="007567E9">
      <w:pPr>
        <w:pStyle w:val="a8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 xml:space="preserve">Перечисление средств на возмещение затрат организации-участнику на реализацию части образовательной программы СПО в сетевой форме проводится базовой организацией в срок не позднее </w:t>
      </w:r>
      <w:r w:rsidR="00882BBD">
        <w:rPr>
          <w:rFonts w:ascii="Times New Roman" w:hAnsi="Times New Roman"/>
          <w:sz w:val="28"/>
          <w:u w:val="single"/>
        </w:rPr>
        <w:t>2</w:t>
      </w:r>
      <w:bookmarkStart w:id="2" w:name="_GoBack"/>
      <w:bookmarkEnd w:id="2"/>
      <w:r w:rsidR="00273FC0" w:rsidRPr="00273FC0">
        <w:rPr>
          <w:rFonts w:ascii="Times New Roman" w:hAnsi="Times New Roman"/>
          <w:sz w:val="28"/>
          <w:u w:val="single"/>
        </w:rPr>
        <w:t>0</w:t>
      </w:r>
      <w:r w:rsidRPr="007567E9">
        <w:rPr>
          <w:rFonts w:ascii="Times New Roman" w:hAnsi="Times New Roman"/>
          <w:sz w:val="28"/>
        </w:rPr>
        <w:t xml:space="preserve"> рабочих дней со дня представления отчета (Приложение 1) об объемах затрат организации-участника на реализацию части образовательной программы СПО в сетевой форме. </w:t>
      </w:r>
    </w:p>
    <w:p w:rsidR="00E67A6A" w:rsidRPr="007567E9" w:rsidRDefault="00C04359" w:rsidP="007567E9">
      <w:pPr>
        <w:pStyle w:val="a8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Цена по договору о сетевой форме реализации образовательных программ СПО отрасли «</w:t>
      </w:r>
      <w:r w:rsidR="007567E9">
        <w:rPr>
          <w:rFonts w:ascii="Times New Roman" w:hAnsi="Times New Roman"/>
          <w:sz w:val="28"/>
        </w:rPr>
        <w:t>Туризм и сфера услуг</w:t>
      </w:r>
      <w:r w:rsidRPr="007567E9">
        <w:rPr>
          <w:rFonts w:ascii="Times New Roman" w:hAnsi="Times New Roman"/>
          <w:sz w:val="28"/>
        </w:rPr>
        <w:t>» в рамках сетевого взаимодействия, при котором используется материально-техническая база, кадровые или иные ресурсы организации-участника, формируется на основе себестоимости оказания услуг с учетом спроса и требования к качеству услуги. При определении стоимости услуги используется метод прямого счета, в основе которого лежит прямой учет всех элементов затрат.</w:t>
      </w:r>
    </w:p>
    <w:p w:rsidR="00E67A6A" w:rsidRPr="007567E9" w:rsidRDefault="00C04359" w:rsidP="007567E9">
      <w:pPr>
        <w:pStyle w:val="a8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 xml:space="preserve">Для расчета цены на оказание услуги по предоставлению материально-технической базы может применяться следующий состав затрат: </w:t>
      </w:r>
    </w:p>
    <w:p w:rsidR="00E67A6A" w:rsidRPr="007567E9" w:rsidRDefault="00C04359" w:rsidP="007567E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bookmarkStart w:id="3" w:name="_Hlk159775483"/>
      <w:r w:rsidRPr="007567E9">
        <w:rPr>
          <w:rFonts w:ascii="Times New Roman" w:hAnsi="Times New Roman"/>
          <w:sz w:val="28"/>
        </w:rPr>
        <w:t xml:space="preserve">– оплата труда и начисления на выплаты по оплате труда педагогического состава и других работников организации-участника, непосредственно связанных с оказанием государственной услуги по реализации образовательных программ СПО, включая страховые взносы; </w:t>
      </w:r>
      <w:bookmarkEnd w:id="3"/>
    </w:p>
    <w:p w:rsidR="00E67A6A" w:rsidRPr="007567E9" w:rsidRDefault="00C04359" w:rsidP="007567E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–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государственной услуги по реализации образовательных программ СПО;</w:t>
      </w:r>
    </w:p>
    <w:p w:rsidR="00E67A6A" w:rsidRPr="007567E9" w:rsidRDefault="00C04359" w:rsidP="007567E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– организация учебной и производственной практик, в том числе проживание и оплата суточных для обучающихся, проходящих практику, и сопровождающих их работников образовательной организации, за исключением затрат на приобретение транспортных услуг;</w:t>
      </w:r>
    </w:p>
    <w:p w:rsidR="00E67A6A" w:rsidRPr="007567E9" w:rsidRDefault="00C04359" w:rsidP="007567E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– приобретение материальных запасов и особо ценного движимого имущества, потребляемого (используемого) в процессе оказания государственной услуги по реализации образовательных программ СПО с учетом срока полезного использования (в том числе затраты на арендные платежи);</w:t>
      </w:r>
    </w:p>
    <w:p w:rsidR="00E67A6A" w:rsidRPr="007567E9" w:rsidRDefault="00C04359" w:rsidP="007567E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– оплата коммунальных услуг, в том числе холодного и горячего водоснабжения и водоотведения, теплоснабжения, электроснабжения, газоснабжения и котельно-печного топлива;</w:t>
      </w:r>
    </w:p>
    <w:p w:rsidR="00E67A6A" w:rsidRPr="007567E9" w:rsidRDefault="00C04359" w:rsidP="007567E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– затраты на приобретение услуг связи, в том числе затраты на местную, междугороднюю и международную телефонную связь, услуги информационно-телекоммуникационной сети "Интернет";</w:t>
      </w:r>
    </w:p>
    <w:p w:rsidR="00E67A6A" w:rsidRPr="007567E9" w:rsidRDefault="00C04359" w:rsidP="007567E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– организация культурно-массовой, физкультурной и спортивной, оздоровительной работы с обучающимися.</w:t>
      </w:r>
    </w:p>
    <w:p w:rsidR="00E67A6A" w:rsidRPr="007567E9" w:rsidRDefault="00C04359" w:rsidP="007567E9">
      <w:pPr>
        <w:pStyle w:val="a8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t>Финансовый механизм подробно отражается в договоре о сетевой форме реализации образовательных программ СПО либо в дополнительном соглашении.</w:t>
      </w:r>
    </w:p>
    <w:p w:rsidR="00E67A6A" w:rsidRPr="007567E9" w:rsidRDefault="00C04359" w:rsidP="007567E9">
      <w:pPr>
        <w:spacing w:after="0"/>
        <w:rPr>
          <w:rFonts w:ascii="Times New Roman" w:hAnsi="Times New Roman"/>
          <w:sz w:val="28"/>
        </w:rPr>
      </w:pPr>
      <w:r w:rsidRPr="007567E9">
        <w:rPr>
          <w:rFonts w:ascii="Times New Roman" w:hAnsi="Times New Roman"/>
          <w:sz w:val="28"/>
        </w:rPr>
        <w:br w:type="page"/>
      </w:r>
    </w:p>
    <w:p w:rsidR="00E67A6A" w:rsidRDefault="00C04359" w:rsidP="007567E9">
      <w:pPr>
        <w:spacing w:after="0" w:line="360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</w:t>
      </w:r>
    </w:p>
    <w:p w:rsidR="00E67A6A" w:rsidRDefault="00C04359" w:rsidP="007567E9">
      <w:pPr>
        <w:spacing w:after="0" w:line="312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:rsidR="00E67A6A" w:rsidRDefault="00C04359" w:rsidP="007567E9">
      <w:pPr>
        <w:spacing w:after="0" w:line="312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объемах затрат организации-участника на реализацию </w:t>
      </w:r>
    </w:p>
    <w:p w:rsidR="00E67A6A" w:rsidRDefault="00C04359" w:rsidP="007567E9">
      <w:pPr>
        <w:spacing w:after="0" w:line="312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части образовательной программы </w:t>
      </w:r>
      <w:bookmarkStart w:id="4" w:name="_Hlk159775642"/>
      <w:r>
        <w:rPr>
          <w:rFonts w:ascii="Times New Roman" w:hAnsi="Times New Roman"/>
          <w:sz w:val="24"/>
        </w:rPr>
        <w:t xml:space="preserve">СПО </w:t>
      </w:r>
    </w:p>
    <w:p w:rsidR="00E67A6A" w:rsidRDefault="00C04359" w:rsidP="007567E9">
      <w:pPr>
        <w:spacing w:after="0" w:line="31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(наименование образовательной организации)     </w:t>
      </w:r>
      <w:bookmarkEnd w:id="4"/>
    </w:p>
    <w:p w:rsidR="00E67A6A" w:rsidRDefault="00C04359" w:rsidP="007567E9">
      <w:pPr>
        <w:spacing w:after="0" w:line="31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(наименование образовательной программы СПО /или ее части</w:t>
      </w:r>
    </w:p>
    <w:p w:rsidR="00E67A6A" w:rsidRDefault="00C04359" w:rsidP="007567E9">
      <w:pPr>
        <w:spacing w:after="0" w:line="31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(указывается в соответствии с пунктом 1.1 Договора)</w:t>
      </w:r>
    </w:p>
    <w:p w:rsidR="00E67A6A" w:rsidRDefault="00C04359" w:rsidP="007567E9">
      <w:pPr>
        <w:spacing w:after="0" w:line="312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Образовательная программа СПО / часть образовательной программы СПО реализовывалась </w:t>
      </w:r>
      <w:r>
        <w:rPr>
          <w:rFonts w:ascii="Times New Roman" w:hAnsi="Times New Roman"/>
          <w:sz w:val="24"/>
        </w:rPr>
        <w:br/>
        <w:t>с "__" _________ 20__ г. по "__" _________ 20__ г.</w:t>
      </w:r>
    </w:p>
    <w:p w:rsidR="00E67A6A" w:rsidRDefault="00E67A6A" w:rsidP="007567E9">
      <w:pPr>
        <w:spacing w:after="0" w:line="312" w:lineRule="auto"/>
        <w:jc w:val="center"/>
        <w:rPr>
          <w:rFonts w:ascii="Times New Roman" w:hAnsi="Times New Roman"/>
          <w:sz w:val="2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2262"/>
      </w:tblGrid>
      <w:tr w:rsidR="00E67A6A">
        <w:tc>
          <w:tcPr>
            <w:tcW w:w="846" w:type="dxa"/>
          </w:tcPr>
          <w:p w:rsidR="00E67A6A" w:rsidRDefault="00C04359" w:rsidP="007567E9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№  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520" w:type="dxa"/>
          </w:tcPr>
          <w:p w:rsidR="00E67A6A" w:rsidRDefault="00C04359" w:rsidP="007567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затрат</w:t>
            </w:r>
          </w:p>
        </w:tc>
        <w:tc>
          <w:tcPr>
            <w:tcW w:w="2262" w:type="dxa"/>
          </w:tcPr>
          <w:p w:rsidR="00E67A6A" w:rsidRDefault="00C04359" w:rsidP="007567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финансового обеспечения, </w:t>
            </w:r>
          </w:p>
          <w:p w:rsidR="00E67A6A" w:rsidRDefault="00C04359" w:rsidP="007567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рублей</w:t>
            </w:r>
          </w:p>
        </w:tc>
      </w:tr>
      <w:tr w:rsidR="00E67A6A">
        <w:tc>
          <w:tcPr>
            <w:tcW w:w="846" w:type="dxa"/>
          </w:tcPr>
          <w:p w:rsidR="00E67A6A" w:rsidRDefault="00E67A6A" w:rsidP="007567E9">
            <w:pPr>
              <w:pStyle w:val="a8"/>
              <w:numPr>
                <w:ilvl w:val="0"/>
                <w:numId w:val="8"/>
              </w:numPr>
              <w:spacing w:line="312" w:lineRule="auto"/>
              <w:ind w:left="357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E67A6A" w:rsidRDefault="00C04359" w:rsidP="007567E9">
            <w:pPr>
              <w:spacing w:line="31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оплату труда и начисления на выплаты по оплате труда педагогического состава и других работников организации-участника, непосредственно связанных с оказанием государственной услуги по реализации образовательных программ СПО, включая страховые взносы</w:t>
            </w:r>
          </w:p>
        </w:tc>
        <w:tc>
          <w:tcPr>
            <w:tcW w:w="2262" w:type="dxa"/>
          </w:tcPr>
          <w:p w:rsidR="00E67A6A" w:rsidRDefault="00E67A6A" w:rsidP="007567E9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67A6A">
        <w:tc>
          <w:tcPr>
            <w:tcW w:w="846" w:type="dxa"/>
          </w:tcPr>
          <w:p w:rsidR="00E67A6A" w:rsidRDefault="00E67A6A" w:rsidP="007567E9">
            <w:pPr>
              <w:pStyle w:val="a8"/>
              <w:numPr>
                <w:ilvl w:val="0"/>
                <w:numId w:val="8"/>
              </w:numPr>
              <w:spacing w:line="312" w:lineRule="auto"/>
              <w:ind w:left="357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E67A6A" w:rsidRDefault="00C04359" w:rsidP="007567E9">
            <w:pPr>
              <w:spacing w:line="31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государственной услуги по реализации образовательных программ СПО</w:t>
            </w:r>
          </w:p>
        </w:tc>
        <w:tc>
          <w:tcPr>
            <w:tcW w:w="2262" w:type="dxa"/>
          </w:tcPr>
          <w:p w:rsidR="00E67A6A" w:rsidRDefault="00E67A6A" w:rsidP="007567E9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67A6A">
        <w:tc>
          <w:tcPr>
            <w:tcW w:w="846" w:type="dxa"/>
          </w:tcPr>
          <w:p w:rsidR="00E67A6A" w:rsidRDefault="00E67A6A" w:rsidP="007567E9">
            <w:pPr>
              <w:pStyle w:val="a8"/>
              <w:numPr>
                <w:ilvl w:val="0"/>
                <w:numId w:val="8"/>
              </w:numPr>
              <w:spacing w:line="312" w:lineRule="auto"/>
              <w:ind w:left="357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E67A6A" w:rsidRDefault="00C04359" w:rsidP="007567E9">
            <w:pPr>
              <w:spacing w:line="31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организацию учебной и производственной практик, в том числе затраты на проживание и оплату суточных для обучающихся, проходящих практику, и сопровождающих их работников образовательной организации, за исключением затрат на приобретение транспортных услуг</w:t>
            </w:r>
          </w:p>
        </w:tc>
        <w:tc>
          <w:tcPr>
            <w:tcW w:w="2262" w:type="dxa"/>
          </w:tcPr>
          <w:p w:rsidR="00E67A6A" w:rsidRDefault="00E67A6A" w:rsidP="007567E9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67A6A">
        <w:tc>
          <w:tcPr>
            <w:tcW w:w="846" w:type="dxa"/>
          </w:tcPr>
          <w:p w:rsidR="00E67A6A" w:rsidRDefault="00E67A6A" w:rsidP="007567E9">
            <w:pPr>
              <w:pStyle w:val="a8"/>
              <w:numPr>
                <w:ilvl w:val="0"/>
                <w:numId w:val="8"/>
              </w:numPr>
              <w:spacing w:line="312" w:lineRule="auto"/>
              <w:ind w:left="357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E67A6A" w:rsidRDefault="00C04359" w:rsidP="007567E9">
            <w:pPr>
              <w:spacing w:line="31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приобретение материальных запасов и особо ценного движимого имущества, потребляемого (используемого) в процессе оказания государственной услуги по реализации образовательных программ СПО с учетом срока полезного использования (в том числе затраты на арендные платежи)</w:t>
            </w:r>
          </w:p>
        </w:tc>
        <w:tc>
          <w:tcPr>
            <w:tcW w:w="2262" w:type="dxa"/>
          </w:tcPr>
          <w:p w:rsidR="00E67A6A" w:rsidRDefault="00E67A6A" w:rsidP="007567E9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67A6A">
        <w:tc>
          <w:tcPr>
            <w:tcW w:w="846" w:type="dxa"/>
          </w:tcPr>
          <w:p w:rsidR="00E67A6A" w:rsidRDefault="00E67A6A" w:rsidP="007567E9">
            <w:pPr>
              <w:pStyle w:val="a8"/>
              <w:numPr>
                <w:ilvl w:val="0"/>
                <w:numId w:val="8"/>
              </w:numPr>
              <w:spacing w:line="312" w:lineRule="auto"/>
              <w:ind w:left="357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E67A6A" w:rsidRDefault="00C04359" w:rsidP="007567E9">
            <w:pPr>
              <w:spacing w:line="31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коммунальные услуги, в том числе затраты на холодное и горячее водоснабжение и водоотведение, теплоснабжение, электроснабжение, газоснабжение и котельно-печное топливо</w:t>
            </w:r>
          </w:p>
        </w:tc>
        <w:tc>
          <w:tcPr>
            <w:tcW w:w="2262" w:type="dxa"/>
          </w:tcPr>
          <w:p w:rsidR="00E67A6A" w:rsidRDefault="00E67A6A" w:rsidP="007567E9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67A6A">
        <w:tc>
          <w:tcPr>
            <w:tcW w:w="846" w:type="dxa"/>
          </w:tcPr>
          <w:p w:rsidR="00E67A6A" w:rsidRDefault="00E67A6A" w:rsidP="007567E9">
            <w:pPr>
              <w:pStyle w:val="a8"/>
              <w:numPr>
                <w:ilvl w:val="0"/>
                <w:numId w:val="8"/>
              </w:numPr>
              <w:spacing w:line="312" w:lineRule="auto"/>
              <w:ind w:left="357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E67A6A" w:rsidRDefault="00C04359" w:rsidP="007567E9">
            <w:pPr>
              <w:spacing w:line="31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приобретение услуг связи, в том числе затраты на местную, междугороднюю и международную телефонную связь, услуги информационно-телекоммуникационной сети "Интернет"</w:t>
            </w:r>
          </w:p>
        </w:tc>
        <w:tc>
          <w:tcPr>
            <w:tcW w:w="2262" w:type="dxa"/>
          </w:tcPr>
          <w:p w:rsidR="00E67A6A" w:rsidRDefault="00E67A6A" w:rsidP="007567E9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67A6A">
        <w:tc>
          <w:tcPr>
            <w:tcW w:w="846" w:type="dxa"/>
          </w:tcPr>
          <w:p w:rsidR="00E67A6A" w:rsidRDefault="00E67A6A" w:rsidP="007567E9">
            <w:pPr>
              <w:pStyle w:val="a8"/>
              <w:numPr>
                <w:ilvl w:val="0"/>
                <w:numId w:val="8"/>
              </w:numPr>
              <w:spacing w:line="312" w:lineRule="auto"/>
              <w:ind w:left="357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E67A6A" w:rsidRDefault="00C04359" w:rsidP="007567E9">
            <w:pPr>
              <w:spacing w:line="31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организацию культурно-массовой, физкультурной и спортивной, оздоровительной работы с обучающимися</w:t>
            </w:r>
          </w:p>
        </w:tc>
        <w:tc>
          <w:tcPr>
            <w:tcW w:w="2262" w:type="dxa"/>
          </w:tcPr>
          <w:p w:rsidR="00E67A6A" w:rsidRDefault="00E67A6A" w:rsidP="007567E9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67A6A">
        <w:tc>
          <w:tcPr>
            <w:tcW w:w="846" w:type="dxa"/>
          </w:tcPr>
          <w:p w:rsidR="00E67A6A" w:rsidRDefault="00E67A6A" w:rsidP="007567E9">
            <w:pPr>
              <w:pStyle w:val="a8"/>
              <w:numPr>
                <w:ilvl w:val="0"/>
                <w:numId w:val="8"/>
              </w:numPr>
              <w:spacing w:line="312" w:lineRule="auto"/>
              <w:ind w:left="357" w:hanging="3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E67A6A" w:rsidRDefault="00C04359" w:rsidP="007567E9">
            <w:pPr>
              <w:spacing w:line="31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затраты</w:t>
            </w:r>
          </w:p>
        </w:tc>
        <w:tc>
          <w:tcPr>
            <w:tcW w:w="2262" w:type="dxa"/>
          </w:tcPr>
          <w:p w:rsidR="00E67A6A" w:rsidRDefault="00E67A6A" w:rsidP="007567E9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67A6A" w:rsidRDefault="00E67A6A" w:rsidP="007567E9">
      <w:pPr>
        <w:spacing w:after="0" w:line="360" w:lineRule="auto"/>
        <w:rPr>
          <w:rFonts w:ascii="Times New Roman" w:hAnsi="Times New Roman"/>
          <w:sz w:val="24"/>
        </w:rPr>
      </w:pPr>
    </w:p>
    <w:sectPr w:rsidR="00E67A6A">
      <w:pgSz w:w="11906" w:h="16838"/>
      <w:pgMar w:top="1134" w:right="850" w:bottom="709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35C62"/>
    <w:multiLevelType w:val="multilevel"/>
    <w:tmpl w:val="A57E5F64"/>
    <w:lvl w:ilvl="0">
      <w:start w:val="1"/>
      <w:numFmt w:val="decimal"/>
      <w:lvlText w:val="%1"/>
      <w:lvlJc w:val="left"/>
      <w:pPr>
        <w:ind w:left="786" w:hanging="360"/>
      </w:pPr>
      <w:rPr>
        <w:color w:val="000000"/>
        <w:sz w:val="24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ascii="Times New Roman" w:hAnsi="Times New Roman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ascii="Times New Roman" w:hAnsi="Times New Roman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946" w:hanging="1080"/>
      </w:pPr>
      <w:rPr>
        <w:rFonts w:ascii="Times New Roman" w:hAnsi="Times New Roman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306" w:hanging="1080"/>
      </w:pPr>
      <w:rPr>
        <w:rFonts w:ascii="Times New Roman" w:hAnsi="Times New Roman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ascii="Times New Roman" w:hAnsi="Times New Roman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386" w:hanging="1440"/>
      </w:pPr>
      <w:rPr>
        <w:rFonts w:ascii="Times New Roman" w:hAnsi="Times New Roman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106" w:hanging="1800"/>
      </w:pPr>
      <w:rPr>
        <w:rFonts w:ascii="Times New Roman" w:hAnsi="Times New Roman"/>
        <w:color w:val="000000"/>
        <w:sz w:val="24"/>
      </w:rPr>
    </w:lvl>
  </w:abstractNum>
  <w:abstractNum w:abstractNumId="1">
    <w:nsid w:val="23343C53"/>
    <w:multiLevelType w:val="multilevel"/>
    <w:tmpl w:val="10142D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239F41E1"/>
    <w:multiLevelType w:val="multilevel"/>
    <w:tmpl w:val="1DFCB70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/>
        <w:color w:val="000000"/>
        <w:sz w:val="24"/>
      </w:rPr>
    </w:lvl>
  </w:abstractNum>
  <w:abstractNum w:abstractNumId="3">
    <w:nsid w:val="317477C0"/>
    <w:multiLevelType w:val="multilevel"/>
    <w:tmpl w:val="BE44A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>
    <w:nsid w:val="3ABA2B5A"/>
    <w:multiLevelType w:val="multilevel"/>
    <w:tmpl w:val="B3AE93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7C760EA"/>
    <w:multiLevelType w:val="multilevel"/>
    <w:tmpl w:val="8A50AA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67A4465"/>
    <w:multiLevelType w:val="multilevel"/>
    <w:tmpl w:val="310CE9D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5E7B6827"/>
    <w:multiLevelType w:val="multilevel"/>
    <w:tmpl w:val="E2AA46B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62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6A"/>
    <w:rsid w:val="00273FC0"/>
    <w:rsid w:val="007567E9"/>
    <w:rsid w:val="00882BBD"/>
    <w:rsid w:val="00C04359"/>
    <w:rsid w:val="00E67A6A"/>
    <w:rsid w:val="00F2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27D81-7769-4C3A-A29A-1EF582E8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styleId="a4">
    <w:name w:val="annotation text"/>
    <w:basedOn w:val="a"/>
    <w:link w:val="a5"/>
    <w:pPr>
      <w:spacing w:line="240" w:lineRule="auto"/>
    </w:pPr>
    <w:rPr>
      <w:sz w:val="20"/>
    </w:rPr>
  </w:style>
  <w:style w:type="character" w:customStyle="1" w:styleId="a5">
    <w:name w:val="Текст примечания Знак"/>
    <w:basedOn w:val="1"/>
    <w:link w:val="a4"/>
    <w:rPr>
      <w:sz w:val="20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subject"/>
    <w:basedOn w:val="a4"/>
    <w:next w:val="a4"/>
    <w:link w:val="a7"/>
    <w:rPr>
      <w:b/>
    </w:rPr>
  </w:style>
  <w:style w:type="character" w:customStyle="1" w:styleId="a7">
    <w:name w:val="Тема примечания Знак"/>
    <w:basedOn w:val="a5"/>
    <w:link w:val="a6"/>
    <w:rPr>
      <w:b/>
      <w:sz w:val="20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customStyle="1" w:styleId="14">
    <w:name w:val="Знак примечания1"/>
    <w:basedOn w:val="13"/>
    <w:link w:val="aa"/>
    <w:rPr>
      <w:sz w:val="16"/>
    </w:rPr>
  </w:style>
  <w:style w:type="character" w:styleId="aa">
    <w:name w:val="annotation reference"/>
    <w:basedOn w:val="a0"/>
    <w:link w:val="14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b">
    <w:link w:val="ac"/>
    <w:semiHidden/>
    <w:unhideWhenUsed/>
    <w:pPr>
      <w:spacing w:after="0" w:line="240" w:lineRule="auto"/>
    </w:pPr>
  </w:style>
  <w:style w:type="character" w:customStyle="1" w:styleId="ac">
    <w:link w:val="ab"/>
    <w:semiHidden/>
    <w:unhideWhenUsed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d"/>
    <w:rPr>
      <w:color w:val="0000FF"/>
      <w:u w:val="single"/>
    </w:rPr>
  </w:style>
  <w:style w:type="character" w:styleId="ad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"/>
    <w:link w:val="pboth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l">
    <w:name w:val="al"/>
    <w:basedOn w:val="a"/>
    <w:link w:val="a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l0">
    <w:name w:val="al"/>
    <w:basedOn w:val="1"/>
    <w:link w:val="al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c0">
    <w:name w:val="ac"/>
    <w:basedOn w:val="a"/>
    <w:link w:val="ac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1">
    <w:name w:val="ac"/>
    <w:basedOn w:val="1"/>
    <w:link w:val="ac0"/>
    <w:rPr>
      <w:rFonts w:ascii="Times New Roman" w:hAnsi="Times New Roman"/>
      <w:sz w:val="24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j">
    <w:name w:val="aj"/>
    <w:basedOn w:val="a"/>
    <w:link w:val="aj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j0">
    <w:name w:val="aj"/>
    <w:basedOn w:val="1"/>
    <w:link w:val="aj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5879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2024-03-25T11:28:00Z</dcterms:created>
  <dcterms:modified xsi:type="dcterms:W3CDTF">2024-03-25T12:17:00Z</dcterms:modified>
</cp:coreProperties>
</file>